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Pr="00D66D56" w:rsidRDefault="00D66D56" w:rsidP="00D66D56">
      <w:pPr>
        <w:jc w:val="center"/>
      </w:pPr>
      <w:r w:rsidRPr="00D66D56">
        <w:t>Environmental Sustainability in Modern Business</w:t>
      </w:r>
    </w:p>
    <w:p w:rsidR="00D66D56" w:rsidRPr="00D66D56" w:rsidRDefault="00D66D56" w:rsidP="00D66D56">
      <w:pPr>
        <w:jc w:val="center"/>
      </w:pPr>
      <w:r w:rsidRPr="00D66D56">
        <w:t>Name</w:t>
      </w:r>
    </w:p>
    <w:p w:rsidR="00D66D56" w:rsidRPr="00D66D56" w:rsidRDefault="00D66D56" w:rsidP="00D66D56">
      <w:pPr>
        <w:jc w:val="center"/>
      </w:pPr>
      <w:r w:rsidRPr="00D66D56">
        <w:t>Institution</w:t>
      </w:r>
    </w:p>
    <w:p w:rsidR="00D66D56" w:rsidRPr="00D66D56" w:rsidRDefault="00D66D56" w:rsidP="00D66D56">
      <w:pPr>
        <w:jc w:val="center"/>
      </w:pPr>
      <w:r w:rsidRPr="00D66D56">
        <w:t>Course Information</w:t>
      </w:r>
    </w:p>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Default="00D66D56" w:rsidP="00D66D56"/>
    <w:p w:rsidR="00D66D56" w:rsidRPr="00D66D56" w:rsidRDefault="00D66D56" w:rsidP="00D66D56">
      <w:pPr>
        <w:jc w:val="center"/>
      </w:pPr>
      <w:r w:rsidRPr="00D66D56">
        <w:lastRenderedPageBreak/>
        <w:t>Environmental Sustainability in Modern Business</w:t>
      </w:r>
    </w:p>
    <w:p w:rsidR="007F3814" w:rsidRPr="00D66D56" w:rsidRDefault="0058728B" w:rsidP="00D66D56">
      <w:pPr>
        <w:ind w:firstLine="720"/>
      </w:pPr>
      <w:r w:rsidRPr="00D66D56">
        <w:t xml:space="preserve">With global warming having a bigger impact on the world each year, it is necessary for companies to achieve sustainability. The Gulf region in particularly is experiencing hotter temperatures and lower water availability. The demand for air conditioning is set to increase, meaning that there will be higher domestic oil consumption. Saudi Arabia being one of the highest producers of oil in the world and its economy heavily dependent on </w:t>
      </w:r>
      <w:r w:rsidR="000908F9" w:rsidRPr="00D66D56">
        <w:t>oil</w:t>
      </w:r>
      <w:r w:rsidRPr="00D66D56">
        <w:t xml:space="preserve"> requires renewable energy and new forms of energy to achieve sustainability. </w:t>
      </w:r>
      <w:r w:rsidR="000908F9" w:rsidRPr="00D66D56">
        <w:t xml:space="preserve">Tasnee is one of the largest industrial companies in Saudi Arabia and is involved in the petrochemical industry. The company states its desire to achieve profitable and sustainable growth for stakeholders and society as the government aims for environmentally friendly practices over the next decade. The company is one of the largest producers of titanium dioxide </w:t>
      </w:r>
      <w:r w:rsidR="00D91A11" w:rsidRPr="00D66D56">
        <w:t>in the world, and is involved in large-scale production of ethylene, acrylic acid, packaging and plastics</w:t>
      </w:r>
      <w:r w:rsidR="00D66D56">
        <w:t xml:space="preserve"> (Boardman, Greenberg, Vining &amp; Weimer, 2017)</w:t>
      </w:r>
      <w:r w:rsidR="00D91A11" w:rsidRPr="00D66D56">
        <w:t>. It is an illustration of the impact that the company has on the Saudi ecosystem as it produces materials that have destructive potential on the environment.</w:t>
      </w:r>
    </w:p>
    <w:p w:rsidR="00CE3ACE" w:rsidRPr="00D66D56" w:rsidRDefault="00CE3ACE" w:rsidP="00D66D56">
      <w:pPr>
        <w:ind w:firstLine="720"/>
      </w:pPr>
      <w:r w:rsidRPr="00D66D56">
        <w:t xml:space="preserve">The use of value for Tasnee may be achieved through a focus on renewable energy to manufacture majority of their products. For Tasnee, their focus on petrochemicals means that most of their production processes are dependent on oil and non-renewable sources of energy. </w:t>
      </w:r>
      <w:r w:rsidR="009D5673" w:rsidRPr="00D66D56">
        <w:t>The company must be able to distinguish different economic sectors as related to their specific type of output</w:t>
      </w:r>
      <w:r w:rsidR="00D66D56">
        <w:t xml:space="preserve"> (Williams &amp; Brown, 2014)</w:t>
      </w:r>
      <w:r w:rsidR="009D5673" w:rsidRPr="00D66D56">
        <w:t xml:space="preserve">. </w:t>
      </w:r>
      <w:r w:rsidR="00D535A0" w:rsidRPr="00D66D56">
        <w:t xml:space="preserve">The company should be able to transform a use value into a social use value and into a commodity. For every specified amount of oil or non-renewable energy sources that the company uses, it should replace it in society with renewable sources of energy that can be transferred to the public or have access rights that belong to other organizations. </w:t>
      </w:r>
      <w:r w:rsidR="00FF37A2" w:rsidRPr="00D66D56">
        <w:t xml:space="preserve">The company may then gradually phase out its use of oil and focus on integrating </w:t>
      </w:r>
      <w:r w:rsidR="00FF37A2" w:rsidRPr="00D66D56">
        <w:lastRenderedPageBreak/>
        <w:t>wind, solar or water energy into their production processes for the long-term. Since use values only become actualities by usage or consumption</w:t>
      </w:r>
      <w:r w:rsidR="00D66D56">
        <w:t xml:space="preserve"> (Williams &amp; Brown, 2014)</w:t>
      </w:r>
      <w:r w:rsidR="00FF37A2" w:rsidRPr="00D66D56">
        <w:t xml:space="preserve">, the accomplishment of sustainability becomes a reality when the transference of renewable energy alternatives to the people is measured in amount of electricity generated for the good of the community. </w:t>
      </w:r>
    </w:p>
    <w:p w:rsidR="009675E2" w:rsidRPr="00D66D56" w:rsidRDefault="009675E2" w:rsidP="00D66D56">
      <w:pPr>
        <w:ind w:firstLine="720"/>
      </w:pPr>
      <w:r w:rsidRPr="00D66D56">
        <w:t>The non-use value for Tasnee will involve the value that the Saudi community will allocate to economic goods regardless of they have or will ever use it. This is the value assigned to willingness to pay due to uncertainty about future supply and potential future demand</w:t>
      </w:r>
      <w:r w:rsidR="00D66D56">
        <w:t xml:space="preserve"> (Williams &amp; Brown, 2014)</w:t>
      </w:r>
      <w:r w:rsidRPr="00D66D56">
        <w:t xml:space="preserve">. </w:t>
      </w:r>
      <w:r w:rsidR="002B0390" w:rsidRPr="00D66D56">
        <w:t xml:space="preserve">Members of the Saudi community will place value on individual willingness to pay for maintaining a public asset such as renewable energy sources for use by the next generation. Tasnee will need to make continued investments in these sustainable forms of energy because they have an impact of economic value of environmental resources. </w:t>
      </w:r>
      <w:r w:rsidR="00713DEB" w:rsidRPr="00D66D56">
        <w:t xml:space="preserve">The company may market the cost benefit evaluation of energy alternatives as long as the company is allowed to have continued short-term availability of current energy sources as it develops sustainable energy alternatives for the country over the coming decades. </w:t>
      </w:r>
    </w:p>
    <w:p w:rsidR="00295631" w:rsidRPr="00D66D56" w:rsidRDefault="00295631" w:rsidP="00D66D56">
      <w:pPr>
        <w:ind w:firstLine="720"/>
      </w:pPr>
      <w:r w:rsidRPr="00D66D56">
        <w:t>For the organization to arrive at a WTP measure, Tasnee should determine what the maximum amount of money is that the indiv</w:t>
      </w:r>
      <w:r w:rsidR="00C555B1" w:rsidRPr="00D66D56">
        <w:t>idual would be willing to offer for a good</w:t>
      </w:r>
      <w:r w:rsidRPr="00D66D56">
        <w:t xml:space="preserve"> in return for an increase in consumption of </w:t>
      </w:r>
      <w:r w:rsidR="00C555B1" w:rsidRPr="00D66D56">
        <w:t xml:space="preserve">the desired </w:t>
      </w:r>
      <w:r w:rsidRPr="00D66D56">
        <w:t xml:space="preserve">good. </w:t>
      </w:r>
      <w:r w:rsidR="00C6367F" w:rsidRPr="00D66D56">
        <w:t>As WTP is a quantity-compensating variation or compensating surplus</w:t>
      </w:r>
      <w:r w:rsidR="00D66D56">
        <w:t xml:space="preserve"> (Freeman III, Herriges &amp; Kling, 2014)</w:t>
      </w:r>
      <w:r w:rsidR="00C6367F" w:rsidRPr="00D66D56">
        <w:t xml:space="preserve">, the company must determine how much an individual would be willing to pay for renewable energy alternatives that will protect the dwindling natural resources of Saudi Arabia and the region. </w:t>
      </w:r>
      <w:r w:rsidR="00C26A04" w:rsidRPr="00D66D56">
        <w:t xml:space="preserve">The company should gain insight into how much renewable energy is in demand for purposes of environmental protection, and determine the prices it can set for the public and other organizations to gain </w:t>
      </w:r>
      <w:r w:rsidR="00C26A04" w:rsidRPr="00D66D56">
        <w:lastRenderedPageBreak/>
        <w:t>access to new forms of energy. The assessment of WTP should consider a notional starting-point such as existing energy alternatives and present the average individual with an optional bundle that would leave the person indifferent if the new bundle offers sustainability at a higher cost.</w:t>
      </w:r>
      <w:r w:rsidR="00C555B1" w:rsidRPr="00D66D56">
        <w:t xml:space="preserve"> Arrival of WTA requires the measurement of the minimum amount of money that an individual would be willing to forego some good or to bear some harm</w:t>
      </w:r>
      <w:r w:rsidR="00D66D56">
        <w:t xml:space="preserve"> (Freeman III, Herriges &amp; Kling, 2014)</w:t>
      </w:r>
      <w:r w:rsidR="00C555B1" w:rsidRPr="00D66D56">
        <w:t>. This is measured by the minimum amount of good that the individual would be willing to accept in return for a decrease in consumption of a related good. The company can determine this surplus by analyzing the indifference between starting-point bundles combined with monetary requirement, and the new bundle that represents a reduction in consumption of the original good.</w:t>
      </w: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Default="00D66D56" w:rsidP="00D66D56">
      <w:pPr>
        <w:jc w:val="center"/>
      </w:pPr>
    </w:p>
    <w:p w:rsidR="00D66D56" w:rsidRPr="00D66D56" w:rsidRDefault="00D66D56" w:rsidP="00D66D56">
      <w:pPr>
        <w:jc w:val="center"/>
      </w:pPr>
      <w:r w:rsidRPr="00D66D56">
        <w:lastRenderedPageBreak/>
        <w:t>References</w:t>
      </w:r>
    </w:p>
    <w:p w:rsidR="00D66D56" w:rsidRPr="00D66D56" w:rsidRDefault="00D66D56" w:rsidP="00D66D56">
      <w:pPr>
        <w:ind w:left="720" w:hanging="720"/>
      </w:pPr>
      <w:r w:rsidRPr="00D66D56">
        <w:rPr>
          <w:color w:val="222222"/>
          <w:shd w:val="clear" w:color="auto" w:fill="FFFFFF"/>
        </w:rPr>
        <w:t>Boardman, A. E., Greenberg, D. H., Vining, A. R., &amp; Weimer, D. L. (2017). </w:t>
      </w:r>
      <w:r w:rsidRPr="00D66D56">
        <w:rPr>
          <w:i/>
          <w:iCs/>
          <w:color w:val="222222"/>
          <w:shd w:val="clear" w:color="auto" w:fill="FFFFFF"/>
        </w:rPr>
        <w:t>Cost-benefit analysis: concepts and practice</w:t>
      </w:r>
      <w:r w:rsidRPr="00D66D56">
        <w:rPr>
          <w:color w:val="222222"/>
          <w:shd w:val="clear" w:color="auto" w:fill="FFFFFF"/>
        </w:rPr>
        <w:t xml:space="preserve">. Cambridge University Press. </w:t>
      </w:r>
    </w:p>
    <w:p w:rsidR="00D66D56" w:rsidRPr="00D66D56" w:rsidRDefault="00D66D56" w:rsidP="00D66D56">
      <w:pPr>
        <w:ind w:left="720" w:hanging="720"/>
        <w:rPr>
          <w:color w:val="222222"/>
          <w:shd w:val="clear" w:color="auto" w:fill="FFFFFF"/>
        </w:rPr>
      </w:pPr>
      <w:r w:rsidRPr="00D66D56">
        <w:rPr>
          <w:color w:val="222222"/>
          <w:shd w:val="clear" w:color="auto" w:fill="FFFFFF"/>
        </w:rPr>
        <w:t>Freeman III, A. M., Herriges, J. A., &amp; Kling, C. L. (2014). </w:t>
      </w:r>
      <w:r w:rsidRPr="00D66D56">
        <w:rPr>
          <w:i/>
          <w:iCs/>
          <w:color w:val="222222"/>
          <w:shd w:val="clear" w:color="auto" w:fill="FFFFFF"/>
        </w:rPr>
        <w:t>The measurement of environmental and resource values: theory and methods</w:t>
      </w:r>
      <w:r w:rsidRPr="00D66D56">
        <w:rPr>
          <w:color w:val="222222"/>
          <w:shd w:val="clear" w:color="auto" w:fill="FFFFFF"/>
        </w:rPr>
        <w:t xml:space="preserve">. Routledge. </w:t>
      </w:r>
    </w:p>
    <w:p w:rsidR="00D66D56" w:rsidRPr="00D66D56" w:rsidRDefault="00D66D56" w:rsidP="00D66D56">
      <w:pPr>
        <w:ind w:left="720" w:hanging="720"/>
      </w:pPr>
      <w:r w:rsidRPr="00D66D56">
        <w:rPr>
          <w:color w:val="222222"/>
          <w:shd w:val="clear" w:color="auto" w:fill="FFFFFF"/>
        </w:rPr>
        <w:t>Williams, B. K., &amp; Brown, E. D. (2014). Adaptive management: from more talk to real action. </w:t>
      </w:r>
      <w:r w:rsidRPr="00D66D56">
        <w:rPr>
          <w:i/>
          <w:iCs/>
          <w:color w:val="222222"/>
          <w:shd w:val="clear" w:color="auto" w:fill="FFFFFF"/>
        </w:rPr>
        <w:t>Environmental Management</w:t>
      </w:r>
      <w:r w:rsidRPr="00D66D56">
        <w:rPr>
          <w:color w:val="222222"/>
          <w:shd w:val="clear" w:color="auto" w:fill="FFFFFF"/>
        </w:rPr>
        <w:t>, </w:t>
      </w:r>
      <w:r w:rsidRPr="00D66D56">
        <w:rPr>
          <w:i/>
          <w:iCs/>
          <w:color w:val="222222"/>
          <w:shd w:val="clear" w:color="auto" w:fill="FFFFFF"/>
        </w:rPr>
        <w:t>53</w:t>
      </w:r>
      <w:r w:rsidRPr="00D66D56">
        <w:rPr>
          <w:color w:val="222222"/>
          <w:shd w:val="clear" w:color="auto" w:fill="FFFFFF"/>
        </w:rPr>
        <w:t xml:space="preserve">(2), 465-479. </w:t>
      </w:r>
    </w:p>
    <w:sectPr w:rsidR="00D66D56" w:rsidRPr="00D66D56" w:rsidSect="00D66D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F51" w:rsidRDefault="005F3F51" w:rsidP="00D66D56">
      <w:pPr>
        <w:spacing w:line="240" w:lineRule="auto"/>
      </w:pPr>
      <w:r>
        <w:separator/>
      </w:r>
    </w:p>
  </w:endnote>
  <w:endnote w:type="continuationSeparator" w:id="1">
    <w:p w:rsidR="005F3F51" w:rsidRDefault="005F3F51" w:rsidP="00D66D5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F51" w:rsidRDefault="005F3F51" w:rsidP="00D66D56">
      <w:pPr>
        <w:spacing w:line="240" w:lineRule="auto"/>
      </w:pPr>
      <w:r>
        <w:separator/>
      </w:r>
    </w:p>
  </w:footnote>
  <w:footnote w:type="continuationSeparator" w:id="1">
    <w:p w:rsidR="005F3F51" w:rsidRDefault="005F3F51" w:rsidP="00D66D5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898"/>
      <w:docPartObj>
        <w:docPartGallery w:val="Page Numbers (Top of Page)"/>
        <w:docPartUnique/>
      </w:docPartObj>
    </w:sdtPr>
    <w:sdtContent>
      <w:p w:rsidR="00D66D56" w:rsidRDefault="00D66D56">
        <w:pPr>
          <w:pStyle w:val="Header"/>
          <w:jc w:val="right"/>
        </w:pPr>
        <w:r>
          <w:t>BUSINESS SUSTAINABILITY</w:t>
        </w:r>
        <w:r>
          <w:tab/>
        </w:r>
        <w:r>
          <w:tab/>
        </w:r>
        <w:fldSimple w:instr=" PAGE   \* MERGEFORMAT ">
          <w:r>
            <w:rPr>
              <w:noProof/>
            </w:rPr>
            <w:t>5</w:t>
          </w:r>
        </w:fldSimple>
      </w:p>
    </w:sdtContent>
  </w:sdt>
  <w:p w:rsidR="00D66D56" w:rsidRDefault="00D66D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D56" w:rsidRDefault="00D66D56">
    <w:pPr>
      <w:pStyle w:val="Header"/>
    </w:pPr>
    <w:r>
      <w:t>Running head: BUSINESS SUSTAINABILITY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8728B"/>
    <w:rsid w:val="000908F9"/>
    <w:rsid w:val="001B24DA"/>
    <w:rsid w:val="00295631"/>
    <w:rsid w:val="002B0390"/>
    <w:rsid w:val="0058728B"/>
    <w:rsid w:val="005F3F51"/>
    <w:rsid w:val="00713DEB"/>
    <w:rsid w:val="007B7D6E"/>
    <w:rsid w:val="007F3814"/>
    <w:rsid w:val="009675E2"/>
    <w:rsid w:val="009B0259"/>
    <w:rsid w:val="009D5673"/>
    <w:rsid w:val="00C26A04"/>
    <w:rsid w:val="00C555B1"/>
    <w:rsid w:val="00C6367F"/>
    <w:rsid w:val="00CE3ACE"/>
    <w:rsid w:val="00D535A0"/>
    <w:rsid w:val="00D66D56"/>
    <w:rsid w:val="00D91A11"/>
    <w:rsid w:val="00FF37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D56"/>
    <w:pPr>
      <w:tabs>
        <w:tab w:val="center" w:pos="4680"/>
        <w:tab w:val="right" w:pos="9360"/>
      </w:tabs>
      <w:spacing w:line="240" w:lineRule="auto"/>
    </w:pPr>
  </w:style>
  <w:style w:type="character" w:customStyle="1" w:styleId="HeaderChar">
    <w:name w:val="Header Char"/>
    <w:basedOn w:val="DefaultParagraphFont"/>
    <w:link w:val="Header"/>
    <w:uiPriority w:val="99"/>
    <w:rsid w:val="00D66D56"/>
  </w:style>
  <w:style w:type="paragraph" w:styleId="Footer">
    <w:name w:val="footer"/>
    <w:basedOn w:val="Normal"/>
    <w:link w:val="FooterChar"/>
    <w:uiPriority w:val="99"/>
    <w:semiHidden/>
    <w:unhideWhenUsed/>
    <w:rsid w:val="00D66D5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66D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2018-03-07T13:40:00Z</dcterms:created>
  <dcterms:modified xsi:type="dcterms:W3CDTF">2018-03-07T13:40:00Z</dcterms:modified>
</cp:coreProperties>
</file>